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Полуян П.В. обратился в суд с заявлением о включении в реестр требований кредиторов должника требования в размере 4 653 824 рублей основного долга, заявив ходатайство о восстановлении пропущенного срока на включение в реестр. Определением Арбитражного суда Тюменской области от 18.12.2019, оставленным без изменения постановлениями Восьмого арбитражного апелляционного суда от 10.03.2020 и Арбитражного суда Западно-Сибирского округа от 26.05.2020, признаны обоснованными и подлежащими удовлетворению за счёт имущества должника, оставшегося после удовлетворения требований, включенных в реестр требований кредиторов должника, требования Полуяна П.В. в размере 4 653 824 рублей.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 восстановлении пропущенного срока на включение в реестр и о включении требований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142 и пункта 4 статьи 213.24 Федерального закона от 26.10.2002 № 127-ФЗ «О несостоятельности (банкротстве)», позицией, изложенной в пункте 24 постановление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выводу о том, что заявителем не представлено доказательств наличия объективных и уважительных причин, препятствующих своевременному предъявлению требований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Полуяну Павлу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