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учреждение обратилось в суд с заявлением о разрешении разногласий по распределению денежных средств, полученных от реализации залогового имущества. Определением Арбитражного суда Ивановской области от 12.12.2019, оставлением без изменении постановлениями Второго арбитражного апелляционного суда от 28.02.2020 и Арбитражного суда Волго-Вятского округа от 15.03.2020,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утверждении расчёта распределения денежных средств, предложенного учреждением.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342 Гражданского кодекса Российской Федерации, статей 134, 138 и пункта 5 статьи 213.27 Федерального закона от 26.10.2002 № 127-ФЗ «О несостоятельности (банкротстве)», пришли к выводу о верном распределении финансовым управляющим должника денежных средств, полученных от реализации залогового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казённому учреждению «Федеральное управление накопительно-ипотечной системы жилищного обеспечения военнослужащих»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