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Мансуров К.А. обратился в суд с заявлением о включении в реестр требований кредиторов должника (далее – реестр) задолженности по выплате заработной платы в размере 941 315 рублей 82 копеек. Определением Арбитражного суда Республики Башкортостан от 17.10.2019 заявление признано обоснованным, требование в сумме 202 127 рублей 49 копеек включено во вторую очередь реестра, задолженность в сумме 739 188 рублей 33 копеек – во вторую очередь текущих обязательств. Постановлением Восемнадцатого арбитражного апелляционного суда от 04.02.2020, оставленным без изменения постановлением Арбитражного суда Уральского округа от 14.05.2020, изменено определение уда первой инстанции от 17.10.2019, требования Мансурова К.А. в размере 941 315 рублей 82 копеек учтены в составе второй очереди реестра.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в обжалуемой части, апелляционный суд, руководствуясь положениями статей 134 и 136 Федерального закона от 26.10.2002 № 127-ФЗ «О несостоятельности (банкротстве)», имеющими приоритет специальных норм при рассмотрении дела о банкротстве перед общими нормами статей 319, 319.1 Гражданского кодекса Российской Федерации, пришел к верному выводу о том, что текущие обязательства должника перед Мансуровым К.А. были в полным объёме погашены 15.12.2017.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суда округа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Мансурову Камилю Абраровичу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