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4 сентября 2020 года согласно оттиску почтового штампа на конверте заявитель направил в Верховный Суд Российской Федерации кассационную жалобу на определение Арбитражного суда города Москвы от 20.12.2019, постановление Девятого арбитражного апелляционного суда от 04.03.2020 и постановление Арбитражного суда Московского округа от 10.06.2020 по делу № А40-158538/2012.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10.06.2020, на момент обращения заявителя срок, установленный статьёй 291.2 Арбитражного процессуального кодекса Российской Федерации, истёк. 2 Эстриной И.Ф. заявлено ходатайство о восстановлении пропущенного процессуального срока. В качестве причины для восстановления срока заявитель ссылается на своевременную подачу аналогичной жалобы на указанные судебные акты через систему «Мой арбитр» и отклонение принятия жалобы в связи с отсутствием документа, подтверждающего полномочия представителя на подачу жалобы. Вместе с тем, заявитель не прилагает к ходатайству каких-либо доказательств в обоснование вышеуказанных доводов. В системе «Мой арбитр» отсутствуют сведения о поданных 10 августа 2020 года и отклоненных 12 августа 2020 года кассационных жалобах заявителя. Как следует из информации, размещённой на официальном сайте арбитражных судов (www.arbitr.ru), постановление Арбитражного суда Московского округа от 10.06.2020 было опубликовано в общедоступной базе судебных актов 11.06.2020,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в суде округа являлся сам заявитель. Таким образом, Эстрина И.Ф. доподлинно знала о состоявшихся судебных актах и имела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Эстрина И.Ф. как лицо, участвующее в деле, несёт риск наступления последствий несовершения ей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Эстриной Иды Федоровны о восстановлении пропущенного процессуального срока отказать. 3 Кассационную жалобу Эстриной Иды Федоровны на определение Арбитражного суда города Москвы от 20.12.2019, постановление Девятого арбитражного апелляционного суда от 04.03.2020 и постановление Арбитражного суда Московского округа от 10.06.2020 по делу № А40-158538/2012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