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08.10.2019, оставленным без изменения постановлением Восемнадцатого арбитражного апелляционного суда от 19.02.2020 и постановлением Арбитражного суда Уральского округа от 11.06.2020,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01.01.2013 по 31.12.2015 и дополнительных мероприятий налогового контроля инспекцией вынесено решение о привлечении к ответственности за совершение налогового правонарушения. Данным решением обществу доначислено 29 121 441 рубль налога на добавленную стоимость и 29 209 758 рублей налога на прибыль, начислены соответствующие суммы пеней и штрафа по пункту 3 статьи 122 Налогового кодекса Российской Федерации (далее – Налоговый кодекс), а также пени по налогу на доходы физических лиц и штраф по статье 123 Налогового кодекса. Основанием для доначисления налогов, начисления пеней и штрафов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на приобретение товаров у ООО «Квартал», ООО «Современные технологии» и необоснованным применением налоговых вычетов по налогу на добавленную стоимость на основании документов, выставленных от имени указанных контрагентов. Кроме того, инспекция указала на неправомерное неперечисление в установленный срок суммы налога на доходы физических лиц в качестве налогового агента. Признавая решение налогового органа законным, суды, оценив представленные в материалы дела доказательства, руководствуясь положениями статей 169 , 171 , 172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направленности действий общества на получение необоснованной налоговой выгоды. Судебные инстанции исходили из того, что представленные по хозяйственным операциям первичные документы содержат недостоверные сведения и не подтверждают реальность хозяйственных операций общества с заявленными в них контрагентами. Суды указали, что ООО «Квартал» и ООО «Современные технологии» не обладали имуществом, материальными и трудовыми ресурсами, основными и транспортными средствами, необходимыми для осуществления финансово- хозяйственной деятельности. При этом денежные средства, поступившие от общества на расчетные счета данных контрагентов, в дальнейшем перечислялись организациям, не являющимся поставщиками товаров. Доводы, изложенные в кассационной жалобе, в том числе о том, что созданный формальный документооборот не был направлен на получение необоснованной налоговой выгоды, а также о дальнейшей реализации приобретенного товара, повторяют позицию общества по спору, являлись предметом рассмотрения и получили правовую оценку с учетом установленных обстоятельств дела. Приведенные доводы не опровергают выводы судов, сделанные на основе полного и всестороннего изучения представленных в материалы дела доказательств, не подтверждают существенного нарушения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«Челябинская стекольная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"Челябинская Стекольная Компания" (подробнее) Ответчики: Инспекция Федеральной налоговой службы по Советскому району г. Челябинска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