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Кибишев Максим Вячеславович обратился в суд с заявлением о признании недействительными безналичных перечислений денежных средств, совершённых должником в пользу общества в период с 26.06.2017 по 31.01.2018, в общей сумме 1 899 335 рублей 24 копейки, применении последствий недействительности сделок. Определением Арбитражного суда Пермского края от 23.10.2019 в удовлетворении заявления отказано. Постановлением Семнадцатого арбитражного апелляционного суда от 30.12.2019, оставленным без изменения постановлением Арбитражного суда Уральского округа от 15.05.2020, вышеуказанное определение изменено, его резолютивная часть изложена в иной редакции о частичном удовлетворении требований конкурсного управляющего.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изменяя определение суда первой инстанции, апелляционный суд, руководствуясь статьями 61.3, 61.4, 189.40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обстоятельств совершения части оспариваемых платежей на общую сумму 493 014 рублей 50 копеек с просрочкой в два и более года, не позволявших отнести их к обычной хозяйственной деятельности, в связи с чем пришёл к правильному выводу о наличии оснований для признания их недействительными по признаку оказания заявителю предпочтения, при этом правомерно применив последствия их недействительности.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«Ремонт электрических машин»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