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Документы, отражающие имущественное положение общества не представлены, поэтому ходатайство об отсрочке уплаты государственной пошлины удовлетворению не подлежит. Учитывая,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 требования к оформлению кассационной жалобы считаются не соблюденными и жалоба подлежит возврату. Руководствуясь статьей 184 , пунктом 1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«Константа Капитал Групп» в предоставлении отсрочки уплаты государственной пошлины за подачу кассационной жалобы на решение Арбитражного суда города Москвы от 08.11.2019 по делу № А40-8995/2019, постановление Девятого арбитражного апелляционного суда от 10.02.2020 и постановление Арбитражного суда Московского округа от 02.07.2020 по тому же делу. Возвратить обществу с ограниченной ответственностью «Константа Капитал Групп» кассационную жалобу. Судья Верховного Суда Российской Федерации Н.А. Ксенофонтова Суд: Верховный Суд РФ (подробнее) Истцы: ООО "КОНСТАНТА КАПИТАЛ ГРУПП" (подробнее) Ответчики: АО "Группа Ренессанс Страхование" (подробнее) АО "СТРАХОВАЯ КОМПАНИЯ БЛАГОСОСТОЯНИЕ ОБЩЕЕ СТРАХОВАНИЕ"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