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включении в реестр требований кредиторов должника его требования в размере 150 000 000 рублей. Определением Арбитражного суда города Москвы от 30.10.2019, оставленным без изменения постановлениями Девятого арбитражного апелляционного суда от 04.02.2020 и Арбитражного суда Московского округа от 19.06.2020.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в том числе, результатах проведённой судебной экспертизы, руководствуясь статьями 807 - 811 Гражданского кодекса Российской Федерации, статьями 16, 71, 100,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не усмотрели оснований для удовлетворения заявления ввиду отсутствия доказательств, подтверждающих факт реального перечисления должнику денежных средств по договору беспроцентного займа, и как следствие, имеющейся у последнего задолженности по нему.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"ЮниКредитБанк" (подробнее) ИФНС России №3 по г.Москве (подробнее) ПАО Банк ВТБ (подробнее) ПАО РОСБАНК (подробнее) ПАО Сбербанк (подробнее) Иные лица: Е.В. Мыскин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