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22.11.2019 с общества в пользу предпринимателя взыскано 34 325 руб. 89 коп. неустойки, 12 руб. 89 коп. почтовых расходов, 988 руб. 65 коп. судебных расходов на оплату услуг представителя, 771 руб. 67 коп. расходов по уплате государственной пошлины, в удовлетворении остальной части исковых требований отказано. Постановлением Девятого арбитражного апелляционного суда от 30.01.2020 решение суда первой инстанции изменено в части взыскания неустойки и судебных расходов; с общества в пользу предпринимателя взыскано 300 000 руб. неустойки, 18 250 руб. расходов по уплате государственной пошлины по иску, 864 руб. расходов по уплате государственной пошлины по апелляционной жалобе; в остальной части решение суда оставлено без изменения. Постановлением Арбитражного суда Московского округа от 19.05.2020 постановление суда апелляционной инстанции оставлено без изменения. В кассационной жалобе, поданной в Верховный Суд Российской Федерации, предприниматель просит отменить указанные судебные акты в части отказа во взыскании убытков и принять в этой части новый судебный акт об удовлетворении данного требования.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право требования предпринимателя взыскания денежных средств по настоящему делу основано на договоре уступки прав требования, заключенном им с третьими лицами.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15 , 393 Гражданского кодекса Российской Федерации, суды первой и апелляционной инстанций пришли к выводу об отсутствии оснований для удовлетворения требования предпринимателя о взыскании с ответчика убытков в виде оплаты арендных платежей. Суды исходили из следующего: истцом не доказано, что лицом, чьими действиями (бездействием) были причинены убытки, является ответчик; доказательств, безусловно подтверждающих причинение убытков именно в результате действий (бездействия) ответчика, и свидетельствующих о противоправности его поведения, как и доказательств наличия причинно-следственной связи между такими противоправными действиями и причинением убытков не представлено; факт необходимости съема жилья и невозможности проживания третьих лиц по адресу регистрации не подтвержден.С указанными выводами впоследствии согласился суд округа. Приведенные предпринимателем в кассационной жалобе доводы по существу свидетельствуют о несогласии с выводами судов, основанными на исследовании и оценке имеющихся в материалах дела доказательств, переоценка которых не входит в полномочия Верховного Суда Российской Федерации. Существенных нарушений норм материального и процессуального права, которые могли повлиять на исход дела, доводы жалобы не подтверждают, в связи с чем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ООО СПЕЦИАЛИЗИРОВАННЫЙ ЗАСТРОЙЩИК "ФЕОДОСИЙСКАЯ"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