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города Москвы с исковым заявлением к государственному унитарному предприятию города Москвы «Мосгортранс» (далее – предприятие) об обязании подписать договор, счет на оплату, акт сдачи-приемки выполненных работ, о взыскании 6 453 283 руб. задолженности, 20 000 руб. штрафа, 342 185 руб. 32 коп. пеней. К участию в деле в качестве третьего лица, не заявляющего самостоятельных требований относительно предмета спора, привлечен филиал Сокольнический вагоноремонтно-строительный завод «САРЗ» ГУП «Мосгортранс». Решением Арбитражного суда города Москвы от 13.11.2019, оставленным без изменения постановлением Девятого арбитражного апелляционного суда от 30.01.2020 и постановлением Арбитражного суда Московского округа от 27.05.2020,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материального права,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по настоящему делу, суды первой и апелляционной инстанций, руководствуясь положениями статей 309 , 310 , 330 , 421 , 711 , 716 , 719 Гражданского кодекса Российской Федерации, оценив по правилам статьи 71 Арбитражного процессуального кодекса Российской Федерации представленные в материалы дела доказательства, учитывая условия контракта, в том числе обязывающие общество (подрядчика) получить положительное заключение проектно-сметной документации в государственном учреждении, а также предусматривающие прекращение обязательств по контракту по истечении срока его действия, установив отсутствие доказательств приостановления подрядчиком выполнения работ и передачи предприятию (заказчику) результата работ, соответствующего условиям контракта, пришли к выводу о наличии оснований для отказа в удовлетворении исковых требований, с чем впоследствии согласился суд округа. С учетом установленных фактических обстоятельств настоящего дела доводы заявителя, изложенные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«Кадинжпроект»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"КАДИНЖПРОЕКТ" (подробнее) Ответчики: ГУП "Мосгортранс" филиал Сокольнический вагоноремонтно-строительный завод СВАРЗ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