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03.10.2019 иск удовлетворен. Определением Одиннадцатого арбитражного апелляционного суда от 25.03.2020 апелляционная жалоба общества возвращена на основании пункта 3 части 1 статьи 264 Арбитражного кодекса Российской Федерации в связи с пропуском срока подачи жалобы и отказом в удовлетворении ходатайства о его восстановлении. Постановлением Арбитражного суда Поволжского округа от 11.06.2020 решение суда первой инстанции отменено, в удовлетворении иска отказано. В кассационной жалобе (с дополнением к ней), поданной в Верховный Суд Российской Федерации, компания просит пересмотреть постановление суда округа в кассационном порядке, ссылаясь на его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принятого по делу судебного акта, доводов кассационной жалобы и дополнения к ней не установлено. Отменяя решение суда первой инстанции и отказывая в удовлетворении иска, суд округа руководствовался положениями статьи 1102 Гражданского кодекса Российской Федерации и исходил из отсутствия на стороне общества неосновательного обогащения, поскольку спорные денежные средства перечислены ему компанией во исполнение вступившего в законную силу судебного акта. Довод заявителя о непривлечении к участию в деле временного управляющего обществом был предметом рассмотрения суда округа и получил правовую оценку. Изложенные в кассационной жалобе и дополнении к ней доводы не опровергают выводы суда округа и не свидетельствуют о наличии в обжалуемом судебном акте существенных нарушений норм материального и (или)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«Инвестиционно-строительная компания «Менделеевскстрой»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"Инвестиционно-строительная компания "Менделеевскстрой", г.Менделеевск (подробнее) Ответчики: ООО "Строй-Центр", г.Набережные Челны (подробнее) Иные лица: Межрайонная инспекция Федеральной налоговой службы №14 по РТ (подробнее) Одиннадцатый Арбитражный апелляционный суд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