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01.10.2019, оставленным без изменения постановлением Девятого арбитражного апелляционного суда от 23.12.2019 и постановлением Арбитражного суда Московского округа от 21.05.2020, в удовлетворении заявления отказано. В кассационной жалобе, поданной в Верховный Суд Российской Федерации, общество просит отменить принятые по делу судебные акты, ссылаясь на существенное нарушение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между учреждением (заказчик) и обществом (исполнитель) по результатам электронного аукциона заключен контракт № 0373200036118000076_53093 на выполнение работ по проведению контрольных проверок соответствия требованиям безопасности в процессе эксплуатации оборудования объектов заказчика. В связи с ненадлежащим исполнением обществом своих обязательств по указанному контракту учреждением принято решение об одностороннем отказе от исполнения контракта. Решение об отказе от исполнения контракта направлено учреждением обществу 09.10.2018 по электронное почте, 11.10.2018 - по почте заказным письмом с уведомлением о вручении, 10.10.2018 - размещено в единой информационной системе. Кроме того, учреждением в антимонопольный орган направлена информация об обществе для включения в реестр недобросовестных поставщиков. По результатам проверки данной информации антимонопольный орган принял решение от 22.11.2018 о включении информации об обществе в реестр недобросовестных поставщиков. Несогласие с решением управления послужило основанием обращения общества в суд. Оценив представленные в материалы дела доказательства,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нужд», Гражданского кодекса Российской Федерации, пунктом 4 Постановления Правительства Российской Федерации от 25.11.2013 N 1062 «О порядке ведения реестра недобросовестных поставщиков (подрядчиков, исполнителей)», суды трех инстанций пришли к выводу о том, что оспариваемое решение соответствует положениям действующего законодательства и не нарушает прав и законных интересов заявителя. Установив ненадлежащее исполнение обществом обязательств по государственному контракту, а также учитывая факт вступления в силу решения заказчика об одностороннем отказе от его исполнения и непринятие заявителем мер, направленных на устранение выявленных заказчиком нарушений, судебные инстанции пришли к выводу о том, что заявитель не проявил ту степень заботливости и осмотрительности, которая требовалась от него при исполнении государственного контракта, в связи с чем у антимонопольного органа отсутствовали правовые основания для отказа учреждению во включении сведений об обществе в реестр недобросовестных поставщиков.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основаны на ином толковании положений законодательства,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«Казэнергоаудит»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"Казэнергоаудит" (подробнее) Ответчики: Управление Федеральной антимонопольной службы по г. Москве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