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финансовый управляющий его имуществом ФИО3 обратился в суд с заявлением о признании недействительными сделками платежей, осуществленных должником в адрес Федеральной налоговой службы (далее – уполномоченный орган) за период с 01.07.2016 по 30.09.2016, применении последствий недействительности сделки. Определением Арбитражного суда Самарской области от 16.10.2019, оставленным без изменения постановлением Одиннадцатого арбитражного апелляционного суда от 22.01.2020, заявление удовлетворено. Постановлением Арбитражного суда Поволжского округа от 14.05.2020 отменены определение суда первой инстанции от 16.10.2019 и постановление апелляционного суда от 22.01.2020, обособленный спор направлен на новое рассмотрение в Арбитражный суд Самарской области. В кассационной жалобе, поданной в Верховный Суд Российской Федерации, заявитель просит отменить постановление суда округа, оставить в силе определение суда первой инстанции и постановление апелляционного суда.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Отменяя состоявшиеся судебные акты и направляя спор на новое рассмотрение, суд округа, руководствуясь положениями пункта 4 статьи 61.4 Федерального закона от 26.10.2002 № 127-ФЗ «О несостоятельности (банкротстве)», позицией, изложенной в пунктах 15 и 16 Обзора судебной практики Верховного Суда Российской Федерации № 4 (2016), утверждённого Президиумом Верховного Суда Российской Федерации от 20.12.2016, исходил из неполного исследования судами обстоятельств дела, которые могут иметь существенное значение для разрешения спора, что привело к преждевременным выводам и вынесению необоснованных судебных актов. При новом рассмотрении судам необходимо дать мотивированную оценку доводам уполномоченного органа, достоверно установить обстоятельства осведомленности последнего о наличии у должника просроченных обязательств перед конкурсными кредиторами. Оспариваемое постановление принято в пределах полномочий, предоставленных суду кассационной инстанции (статья 287 Арбитражного процессуального кодекса Российской Федерации). Содержащиеся в нём выводы соответствуют нормам права, оснований для переоценки этих выводов не имеется. В связи с тем, что вопрос об удовлетворении либо отказе в удовлетворении требований арбитражным судом округа не был окончательно разрешён, заявитель не лишён возможности при новом рассмотрении спора изложить свои доводы со ссылками на нормы права и имеющиеся доказательства.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Межрайонная ИФНС РФ №19 (подробнее) ФНС России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