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– обратился в суд с заявлением о признании недействительными совершенных 30.11.2017 сделок по досрочному погашению простых векселей, перечислению 30.11.2017 банком в пользу Гнидковской А.В. 32 037 253 рублей 63 копеек, выдаче 01.12.2017 ей из кассы 20 003 000 рублей; применении последствий недействительности сделок. Определением Арбитражного суда Краснодарского края от 15.11.2019, оставленным без изменения постановлениями Пятнадцатого арбитражного апелляционного суда от 07.02.2020 и Арбитражного суда Северо-Кавказского округа от 22.06.2020,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конкурсному управляющему должником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189.10, 189.40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(банкротстве)»», установили наличие оснований для признания недействительными оспариваемых сделок, совершенных в течение месяца до отзыва у банка лицензии за пределами обычной хозяйственной деятельности и повлекших за собой получение заявителем предпочтения по сравнению с иными кредиторами, при этом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Гнидковской Алевтине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