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посредством размещенной на официальном сайте Верховного Суда Российской Федерации системы «Мой Арбитр» обратилось в Верховный Суд Российской Федерации с кассационной жалобой на указанные судебные акты, а также с ходатайством о зачете излишне уплаченной государственной пошлины, приложив электронный образ платежного поручения от 23.12.2019 № 2009 об оплате государственной пошлины за рассмотрение апелляционной жалобы по данному делу. Согласно статьям 102,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2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содержащимся в пункте 3 постановления Пленума Высшего Арбитражного Суда Российской Федерации от 11.07.2014 №46 «О применении законодательства о государственной пошлине при рассмотрении дел в арбитражных судах»,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3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заявителя, суд приходит к выводу об отсутствии оснований для его удовлетворения, поскольку документы, необходимые для зачета государственной пошлины, заявителем в Верховный Суд Российской Федерации не представлены. В соответствии с пунктом 1 части 1 статьи 291.5 Арбитражного процессуального кодекса Российской Федерации отсутствие приложенных к кассационной жалобе документов, подтверждающих уплату государственной пошлины, является самостоятельным основанием для возвращения кассационной жалобы без рассмотрения по существу. Руководствуясь статьями 104, 184,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«Коммунальщик» о зачете государственной пошлины отказать, кассационную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