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21.10.2019, оставленным без изменения постановлениями Шестнадцатого арбитражного апелляционного суда от 16.01.2020 и Арбитражного суда Северо-Кавказского округа от 27.05.2020, в удовлетворении заявленных требований отказано. В кассационной жалобе ФИО1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ФИО2 на действия территориального управления при проведении торгов в форме открытого аукциона по продаже арестованного, залогового имущества (Лот № 15), принадлежащего должнику – Киви Н.В., выразившиеся в нарушении порядка организации и проведения торгов, антимонопольным органом принято решение. Управлением жалоба ФИО2 признана обоснованной, спорные торги аннулированы. Выдано предписание об устранении нарушения порядка организации и проведения торгов. Считая ненормативные акты антимонопольного органа незаконными, ФИО1 обратился в арбитражный суд. Отказывая в удовлетворении заявленных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447 – 449 Гражданского кодекса Российской Федерации, части 2 статьи 1, статей 17, 18.1 Федерального закона от 26.07.2006 № 135-ФЗ «О защите конкуренции», статей 87, 89, 90 Федерального закона от 02.10.2007 № 229-ФЗ «Об исполнительном производстве», Положением о Федеральном агентстве по управлению государственным имуществом, утвержденным постановлением Правительства Российской Федерации от 05.06.2008 № 432, соглашением Федеральной службы судебных приставов № 0001/13, Росимущества от 30.04.2015 № 01-12/65, пришли к выводу о законности оспариваемых ненормативных актов. Судебные инстанции исходили из того, что установив требования подачи заявки лично, территориальное управление ограничило возможность участия в аукционе лиц, которые территориально удалены от места подачи заявлений или не имеют возможности обеспечить личное участие в подаче заявления по иным причинам. Суды отметили, что установление спорных требований является препятствием для подачи заявки на участие в аукционе для претендентов, не проживающих в городе Ставрополе, создает административный барьер участия в торгах и нарушает императивный запрет на совершение действий, ограничивающих конкуренцию. Доводы заявителя, изложенные в кассационной жалобе, являлись предметом рассмотрения судов трех инстанций и получили надлежащую правовую оценку с учетом установленных по делу обстоятельств. По существу доводы ФИО1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Ставропольскому краю (подробнее) УФАС по 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