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28.08.2020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Вопрос изменения права на недвижимое имущество, в котором находилось учреждение, сам по себе не свидетельствует о невозможности учреждения обеспечить своевременное направление кассационной жалобы в Верховный Суд Российской Федерации, а также получение заявителем корреспонденции, адресованной юридическому лицу.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кассационная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казенного учреждения города Москвы «Соцэнерго Департамента здравоохранения города Москвы»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ГОСУДАРСТВЕННОЕ КАЗЕННОЕ УЧРЕЖДЕНИЕ ГОРОДА МОСКВЫ "СОЦЭНЕРГО ДЕПАРТАМЕНТА ЗДРАВООХРАНЕНИЯ ГОРОДА МОСКВЫ" (подробнее) Ответчики: ООО "Системные решения"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