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09.10.2019, оставленным без изменения постановлением Девятого арбитражного апелляционного суда от 03.03.2020 и постановлением Арбитражного суда Московского округа от 04.06.2020, иск удовлетворен. В кассационной жалобе общество «РНГ Снабжение» просит о пересмотре судебных актов, ссылаясь на отсутствие доказательств устранения истцом недостатков товара, в связи с которыми приостановлена его оплата.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связи с доводом заявителя о наличии претензий к качеству товара судами обсуждена обоснованность таких претензий и не установлены условия, необходимые в силу статьи 476 Гражданского кодекса Российской Федерации для ответственности продавца (истца) за недостатки товара, поэтому этот довод признан не влияющим на обязанность оплатить принятый по товарным накладным товар.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«РНГ Снабжение»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"Карьерные машины" (подробнее) Ответчики: ООО "РНГ СНАБЖЕНИЕ"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