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– обратился в суд с возражениями на заявление Анпилоговой В.В. о включении в реестр требований кредиторов должника требования о выплате страхового возмещения в размере 850 000 рублей. Определением Арбитражного суда города Москвы от 24.10.2019, оставленным без изменения постановлениями Девятого арбитражного апелляционного суда от 10.02.2020 и Арбитражного суда Московского округа от 22.06.2020, во включении требования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16, 183.16, 183.26 Федерального закона от 26.10.2002 № 127-ФЗ «О несостоятельности (банкротстве)», статьями 9, 32.8 Закона Российской Федерации от 27.11.1992 № 4015-1 «Об организации страхового дела в Российской Федерации»,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дело банкротстве», исходили из того, что обязательства должника по договору страхования прекратились в силу специальной нормы закона, а не оговоренного сторонами события – признания его банкротом, приняли во внимание факт обращения заявителя за досрочным возвратом денежных средств после прекращения действия названного договора, в связи с чем пришли к выводу о недоказанности наступления страхового случая и отсутствии оснований для включения заявленного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Анпилоговой Виктории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