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управляющий, компания «Бауминг Трейдинг Лимитед» и общество «ИТНОК» (далее – конкурсный кредитор) обратились в суд с заявлениями, объединёнными в одно производство для совместного рассмотрения, о разрешении разногласий по порядку и условиям проведения торгов по реализации имущества должника, находящегося в залоге у акционерного общества «Альфа-банк» (далее – банк; правопреемник – общество с ограниченной ответственностью «Ист Финанс Групп»). Определением Арбитражного суда города Санкт-Петербурга и Ленинградской области от 03.10.2019, оставленным без изменения постановлениями Тринадцатого арбитражного апелляционного суда от 06.02.2020 и Арбитражного суда Северо-Западного округа от 19.05.2020, утверждено Положение о порядке, сроках и условиях реализации имущества должника (далее – положение о продаже) на предложенных правопреемником банка условиях. 2 В кассационных жалобах, поданных в Верховный Суд Российской Федерации, конкурсный управляющий должником просит отменить указанные судебные акты и направить дело на новое рассмотрение; конкурсный кредитор просит изменить судебные акты, а именно: утвердить организатором торгов конкурсного управляющего должником; утвердить торговую площадку акционерное общество «РАД» http:// bankruptcy.lot-online. ru; утвердить открытую форму предложения о цене; утвердить задаток в размере 10% от начальной цены имущества.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статьёй 448 Гражданского кодекса Российской Федерации, статьями 20.3, 20.7, 110, 138 Федерального закона от 26.10.2002 № 127-ФЗ «О несостоятельности (банкротстве)», пунктом 9 постановления Пленума Высшего Арбитражного Суда Российской Федерации от 23.07.2009 № 58 «О некоторых вопросах, связанных с удовлетворением требований залогодержателя при банкротстве залогодателя», не установили оснований для внесения изменений в разработанное правопреемником банка (залоговым кредитором) положение о продаже в части организатора проведения торгов, оператора электронной площадки, формы подачи заявок и размера задатка.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в кассационных жалобах доводы заявителей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кассационных жалоб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«Автоцентр Лаура-Купчино» Соколову Максиму Игоревичу и обществу с ограниченной ответственностью «ИТНОК»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