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22.11.2019, оставленным без изменения постановлением Девятого арбитражного апелляционного суда от 21.02.2020 и постановлением Арбитражного суда Московского округа от 08.06.2020, исковые требования удовлетворены. В кассационной жалобе общество «Единые технологии в энергетике» просит об отмене судебных актов, ссылаясь на неправомерное взыскание неустойки без учета поставленного в срок оборудования, фактического изменения сроков поставки и предела ответственности.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основание для взыскания неустойки, изменение ее размера и освобождения от нее, устанавливаются судами, рассматривающими дело по правилам для первой инстанции, и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«Единые технологии в энергетике»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"СИЛОВЫЕ МАШИНЫ - ЗТЛ, ЛМЗ, ЭЛЕКТРОСИЛА, ЭНЕРГОМАШЭКСПОРТ" (подробнее) Ответчики: ООО "ЕДИНЫЕ ТЕХНОЛОГИИ В ЭНЕРГЕТИКЕ"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