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города Москвы с иском об обязании общества с ограниченной ответственностью «АВТОМАШ» произвести гарантийный ремонт и взыскании 1 214 876 рублей 16 копеек убытков. Решением Арбитражного суда города Москвы от 19.11.2019 в удовлетворении иска отказано. Постановлением Девятого арбитражного апелляционного суда от 28.02.2020 решение суда первой инстанции оставлено без изменения. Арбитражный суд Московского округа постановлением от 23.06.2020 указанные судебные акты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возникновение неисправности двигателя транспортного средства вследствие нарушения правил и режимов его эксплуатации истцом, руководствуясь положениями статей 15 , 393 , 401 , 421 , 431 Гражданского кодекса Российской Федерации, разъяснениями Пленума Верховного Суда Российской Федерации, изложенными в постановлении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недоказанности наличия причинно- следственной связи между действиями ответчика по отказу в проведении гарантийного ремонта по не гарантийному случаю и возникшими у истца последствиями.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ООО АвтоМаш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