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«Трансинжиниринг» обратилось в Арбитражный суд города Москвы с иском о взыскании с индивидуального предпринимателя ФИО1 519 000 рублей неосновательного обогащения, 87 788 рублей 67 копеек процентов за пользование чужими денежными средствами, с начислением процентов, начиная с 21.02.2019 по день фактической уплаты денежных средств. Решением Арбитражного суда города Москвы от 13.11.2019 иск удовлетворен. Постановлением Девятого арбитражного апелляционного суда от 06.02.2020 решение суда первой инстанции оставлено без изменения. Арбитражный суд Московского округа постановлением от 26.05.2020 указанные судебные акты оставил без изменения. Индивидуальный предприниматель ФИО1 обратился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1102 , 1107 Гражданского кодекса Российской Федерации, суды пришли к выводу о доказанности наличия на стороне ответчика неосновательного обогащения в отсутствие установленных законом, иными правовыми актами или сделкой оснований для удержания денежных средств.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ИП Семенко А.Д. (подробнее) ООО "Трансинжиниринг" (подробнее) Судьи дела: Зарубина Е.Н.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