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– государственная корпорация «Агентство по страхованию вкладов» – обратился в суд с возражениями на заявление Моисеевой Т.Н. о включении в реестр требований кредиторов должника требования о выплате страхового возмещения в размере 1 400 000 рублей. Определением Арбитражного суда города Москвы от 28.10.2019, оставленным без изменения постановлениями Девятого арбитражного апелляционного суда от 10.02.2020 и Арбитражного суда Московского округа от 02.06.2020, во включении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183.16, 183.26 Федерального закона от 26.10.2002 № 127-ФЗ «О несостоятельности (банкротстве)», статьями 9, 32.8 Закона Российской Федерации от 27.11.1992 № 4015-1 «Об организации страхового дела в Российской Федерации»,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дело банкротстве», исходили из того, что обязательства должника по договору страхования прекратились в силу специальной нормы закона, а не оговоренного сторонами события – признания его банкротом, приняли во внимание факт обращения заявителя за досрочным возвратом денежных средств после прекращения действия названного договора, в связи с чем пришли к выводу о недоказанности наступления страхового случая и отсутствии оснований для включения заявленного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Моисеевой Татьяне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