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25.10.2019, оставленным без изменения постановлением Восемнадцатого арбитражного апелляционного суда от 23.01.2020 и постановлением Арбитражного суда Уральского округа от 01.06.2020, иск удовлетворен. В кассационной жалобе общество «ТД-Универсальные машины» просит о пересмотре судебных актов, ссылаясь на отсутствие пользования денежными средствами и несоразмерность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основание для применения договорной ответственности, изменения ее размера и освобождения от нее, устанавливаются судами, рассматривающими дело по правилам для первой инстанции,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«ТД-Универсальные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ТОРГОВЫЙ ДОМ "РАЗВИТИЕ ОПТИМАЛЬНЫХ СТРАТЕГИЙ ИНВЕСТРИРОВАНИЯ" (подробнее) Ответчики: ООО "ТД-УНИВЕРСАЛЬНЫЕ МАШИНЫ"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