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27.09.2019, оставленным без изменения постановлением Девятого арбитражного апелляционного суда от 15.12.2019 и постановлением Арбитражного суда Московского округа от 28.05.2020, в удовлетворении первоначального и встречного исков отказано. В кассационной жалобе общество «Хлебпром» просит отменить судебные акты в части отказа в первоначальном иске, ссылаясь на несоответствие их обстоятельствам дела и представленным доказательствам.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по итогу исследования и оценки обстоятельств исполнения договора от 14.06.2018 № 1406-2018/12249 признали доказанным надлежащее исполнение ответчиком обязательств по договору, в связи с чем отказали в удовлетворении первоначального иска в соответствии со статьями 15 , 486 , 506 , 516 Гражданского кодекса Российской Федерации. Вопросы доказывания и оценки доказательств, с которыми связаны доводы жалобы, не составляют оснований для кассационного пересмотра судебных актов.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«Хлебпром»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ОАО "Хлебпром" (подробнее) Ответчики: ООО "НПО "Агромаш" (подробнее) Судьи дела: Ксенофонтова Н.А. (судья) (подробнее) Судебная практика по: Упущенная выгода Судебная практика по применению норм ст. 15, 393 ГК РФ По договору поставки Судебная практика по применению норм ст. 506, 507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