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17.07.2018 иск удовлетворен. Постановлением Девятого арбитражного апелляционного суда от 30.01.2020, решение, обжалованное открытым акционерным обществом «Промсвязьбанк» на основании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отменено, в удовлетворении иска отказано. Постановлением Арбитражного суда Московского округа от 11.06.2020 постановление апелляционного суда оставлено без изменения. В кассационной жалобе общество «Индустрия проектов» просит об отмене судебных актов апелляционного и окружного судов, ссылаясь на неустановление реального оказания услуг и пропуск банком срока на обжалование решения.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Учитывая обжалование решения в особом порядке, связанном с процедурой банкротства ответчика, довод в отношении срока на подачу апелляционной жалобы не влияет на результат ее рассмотрения. С особенностями положения должника (ответчика) связан круг обстоятельств, подлежащих установлению, и распределение бремени их доказывания и опровержения. Суд апелляционной инстанции в соответствии со статьями 779 , 781 Гражданского кодекса Российской Федерации правомерно обусловил возникновение обязанности по оплате услуг с фактическим их оказанием, доказательств которого не установил. Вопросы доказывания и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«Индустрия проектов»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"ИНДУСТРИЯ ПРОЕКТОВ" (подробнее) ОАО "Промсвязьбанк" (подробнее) Ответчики: АО "ГАЛС"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