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Северо-Западного округа от 10.04.2020, оставленным без изменения определением того же суда от 27.05.2020, в удовлетворении ходатайства ФИО1 о восстановлении срока на подачу кассационной жалобы на судебный приказ от 19.07.2017 отказано, жалобы возвращена. В кассационной жалобе заявитель просит отменить судебные акты, ссылаясь на неучтенное в полной мере наличие у него прав конкурсного кредитора.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оценил приведенную заявителем причину пропуска срока на подачу кассационной жалобы и установил отсутствие у нее с момента получения заявителем осведомленности об обжалуемом судебном акте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"АВИРА-КОНСАЛТИНГ" (подробнее) Ответчики: ООО "Стройком" (подробнее) ООО "СтройКом"; Представитель- Матвеев Владимир Михайлович (подробнее) ООО " СтройКом" предст. Матвеев В.М. (подробнее) ООО Участник "СтройКом" Матвеев В.М. (подробнее) Судьи дела: Ксенофонтова Н.А. (судья) (подробнее) Последние документы по делу: Определение от 11 сентября 2020 г. по делу № А56-51488/2017 Определение от 16 сентября 2018 г. по делу № А56-51488/2017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