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18.02.2020 встречное исковое заявление общества о взыскании долга по соглашению от 01.01.2019 возвращено. Постановлением Четырнадцатого арбитражного апелляционного суда от 18.06.2020 и постановлением Арбитражного суда Северо-Западного округа от 28.07.2020 определение оставлено без изменения. В кассационной жалобе общество просит об отмене указанных судебных актов, ссылаясь на взаимную связь встречного иска с первоначальным, направленность его на зачет к первоначальному требованию и использование его возврата кооперативом для инициирования процедуры банкротства общества.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Как следует из дополнения к кассационной жалобе, по требованию, заявленному во встречном иске, возбуждено самостоятельное исковое производство, в рамках которого возможно восстановление прав общества, что в силу обозначенных оснований исключает пересмотр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«Севнаучфлот»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