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22.08.2017 должник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Московской области от 15.11.2019, оставленным без изменения постановлениями Десятого арбитражного апелляционного суда от 07.02.2020 и Арбитражного суда Московского округа от 22.05.2020, в продлении срока реализации имущества должника отказано, названная процедура банкротства завершена без применения правил об освобождении должника от исполнения обязательств перед кредиторами. В кассационной жалобе, поданной в Верховный Суд Российской Федерации, заявитель просит отменить указанные судебные акты в части неприменения правил об освобождении от обязательств перед кредиторами и принять в данной части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перед кредиторами, суды, применительно к положениям пунктов 1, 5 и 6 статьи 213.28 Федерального закона от 26.10.2002 № 127-ФЗ «О несостоятельности (банкротстве)», пункта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наличия неисполненных должником обязательств по уплате налогов и сборов, установленного факта привлечения указанного лица к субсидиарной ответственности.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САУ СРО "ДЕЛО" (подробнее) Федеральная налоговая служба России (подробнее) Иные лица: ИФНС по г Красногорск Московской области (подробнее) ООО ПРОИЗВОДСТВЕННОЕ ОБЪЕДИНЕНИЕ "ЭКОЛОГ"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