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о взыскании с арбитражного управляющего ФИО2 убытков в сумме 181 539 рублей 09 копеек. Определением Арбитражного суда Свердловской области от 08.12.2019, оставленным без изменения постановлениями Семнадцатого арбитражного апелляционного суда от 26.02.2020 и Арбитражного суда Уральского округа от 15.05.2020,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60, 213.9, 213.25 Федерального закона от 26.10.2002 № 127-ФЗ «О несостоятельности (банкротстве)», пунктом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недоказанности совокупности условий, необходимых для привлечения арбитражного управляющего ФИО2 к гражданско-правовой ответственности в виде взыскания убытков.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"Траст" (подробнее) ПАО "БИНБАНК" (подробнее) ПАО "Сбербанк России" (подробнее) Иные лица: МИФНС России №25 по Свердловской области (подробнее) ООО " СК "Арсеналъ" (подробнее) СОЮЗ "МЕЖРЕГИОНАЛЬНЫЙ ЦЕНТР АРБИТРАЖНЫХ УПРАВЛЯЮЩИХ" (подробнее) Управление Росреестра по СО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