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24.10.2019, оставленным без изменения постановлением Девятого арбитражного апелляционного суда от 28.01.2020 и постановлением Арбитражного суда Московского округа от 22.06.2020, иск удовлетворен. В кассационной жалобе школа просит отменить судебные акты, ссылаясь на незаконный допуск к участию в заседании суда первой инстанции одного из представителей истца и отсутствие надлежащих доказательств наличия задолженности в размере 2 198 310 рублей.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Затронутые в жалобе вопросы о полномочиях представителя и оценке доказательств поименованных оснований не создают.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Негосударственному образовательному частному учреждению дополнительного образования «Школа иностранных языков «АМВС»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ФЕДЕРАЛЬНОЕ ГОСУДАРСТВЕННОЕ БЮДЖЕТНОЕ ОБРАЗОВАТЕЛЬНОЕ УЧРЕЖДЕНИЕ ВЫСШЕГО ОБРАЗОВАНИЯ "ГОСУДАРСТВЕННЫЙ ИНСТИТУТ РУССКОГО ЯЗЫКА ИМ. А.С. ПУШКИНА" (подробнее) Ответчики: НЕГОСУДАРСТВЕННОЕ ОБРАЗОВАТЕЛЬНОЕ ДОПОЛНИТЕЛЬНОГО ОБРАЗОВАНИЯ "ШКОЛА ИНОСТРАННЫХ ЯЗЫКОВ "АМВС"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