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«Возрождение» (принципал) обратилось в Арбитражный суд города Москвы с иском о взыскании с общества с ограниченной ответственностью «Поток-2» (агента) 14 056 633 рублей 75 копеек убытков. Решением Арбитражного суда города Москвы от 10.07.2019 в удовлетворении иска отказано. Постановлением Девятого арбитражного апелляционного суда от 23.12.2019 решение суда первой инстанции отменено и иск удовлетворен. Арбитражный суд Московского округа постановлением от 29.05.2020 постановление суда апелляционной инстанции оставил без изменения. Общество с ограниченной ответственностью «Поток-2»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 апелляционной инстанции руководствовался положениями статей 15 , 393 , 421 , 431 Гражданского кодекса Российской Федерации и исходил из обоснованности требования платежа по банковскому продукту, отсутствия оснований для отказа в платеже по банковскому продукту и наличия у принципала права требовать в судебном порядке уплаты агентом денежных средств.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«Поток-2»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"Возрождение" (подробнее) Ответчики: ООО "Поток-2"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