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12.08.2019, оставленным без изменения постановлением Семнадцатого арбитражного апелляционного суда от 20.11.2019 и постановлением Арбитражного суда Уральского округа от 25.05.2020, иск удовлетворен частично. В кассационной жалобе ФИО1 просит об отмене судебных актов, ссылаясь на ненадлежащую оценку доказательств, подтвержденность оказания услуг и немотивированного непринятия их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779 , 781 Гражданского кодекса Российской Федерации и обстоятельствами исполнения договора от 28.12.2017 № КП-18/12-17, суды правомерно признали подлежащими оплате только фактически оказанные услуги на взысканную сумму.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