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Страховая компания «Арсеналъ»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Страховая компания «ВТБ Страхование» 2 337 352 рублей 50 копеек неосновательного обогащения, а также 20 000 рублей расходов на оплату услуг представителя. К участию в деле в качестве третьего лица, не заявляющего самостоятельных требований относительно предмета спора, привлечено Министерство внутренних дел Российской Федерации. Решением Арбитражного суда города Москвы от 22.08.2019 в удовлетворении иска отказано. Постановлением Девятого арбитражного апелляционного суда от 11.12.2019 решение суда первой инстанции оставлено без изменения. Арбитражный суд Московского округа постановлением от 03.06.2020 указанные судебные оставил без изменения. Общество с ограниченной ответственностью Страховая компания «Арсеналъ»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421 , 422 , 431 , 1102 Гражданского кодекса Российской Федерации,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Федерации» (с учетом изменений, внесенных Федеральным законом от 02.07.2013 № 165-ФЗ) и исходили из того, что по страховым случаям, полное формирование фактического состава которых было завершено в 2016 году, лицом, обязанным осуществить страховую выплату, являлся истец. Доводы жалобы,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