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обосновывает ходатайство об отсрочке уплаты государственной пошлины сложным имущественным положением, обусловленным отсутствием денежных средств на счете и наличием картотеки.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Документы, отражающие имущественное положение общества не представлены, поэтому ходатайство об отсрочке уплаты государственной пошлины удовлетворению не подлежит. Учитывая,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 требования к оформлению кассационной жалобы считаются не соблюденными и жалоба подлежит возврату. Руководствуясь статьей 184 , пунктом 1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Стиль» в удовлетворении ходатайства о предоставлении отсрочки уплаты государственной пошлины за подачу кассационной жалобы на решение Арбитражного суда Кировской области от 26.10.2019 по делу № А28-9760/2019, постановление Второго арбитражного апелляционного суда от 13.02.2020 и постановление Арбитражного суда Волго-Вятского округа от 30.06.2020 по тому же делу. Возвратить обществу с ограниченной ответственностью «Строй Стиль» кассационную жалобу. Судья Верховного Суда Российской Федерации Н.А. Ксенофонтова Суд: Верховный Суд РФ (подробнее) Истцы: Национальный союз стрховщиков ответственности (подробнее) Ответчики: ООО "Строй стиль" (подробнее) Иные лица: Ленинский районный суд г.Кирова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