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29.11.2019, оставленным без изменения постановлением Девятого арбитражного апелляционного суда от 17.03.2020 и постановлением Арбитражного суда Московского округа от 23.06.2020, в удовлетворении иска отказано в связи с истечением срока исковой давности, о применении которой заявил ответчик. В кассационной жалобе общество «Углегорскуголь» просит об отмене судебных актов, ссылаясь на неправильные оценку экспертного заключения и вывод о пропуске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начало течения срока исковой давности в 2011 году по правилам статей 196 , 200 Гражданского кодекса Российской Федерации. Представленные истцом акты сверки в качестве доказательств, прерывающих течение срока исковой давности, признаны судами ненадлежащими.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«Углегорскуголь»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УГЛЕГОРСКУГОЛЬ (подробнее) Ответчики: ООО Мазутта Капитал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