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12.11.2019, оставленным без изменения постановлением Первого арбитражного апелляционного суда от 20.03.2020 и постановлением Арбитражного суда Волго-Вятского округа от 06.07.2020, иск удовлетворен частично. В кассационной жалобе общество «Плитком» просит о пересмотре судебных актов, ссылаясь на неисследование момента и причин образования недостатков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возникновения убытков установлены в рамках ранее рассмотренных судом общей юрисдикции и арбитражным судом дел по искам приобретателей товара, поставленного ответчиком, и не подлежат переоценке в рассматриваемом деле.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«Плитком»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"РуфСтрой" (подробнее) Ответчики: ООО "ПЛИТКОМ"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