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25.10.2019, оставленным без изменения постановлением Девятого арбитражного апелляционного суда от 23.01.2020 и постановлением Арбитражного суда Московского округа от 22.06.2020, иск удовлетворен. В кассационной жалобе общество «Домтрансавто» просит отменить судебные акты вследствие несоответствия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предъявление истцом актов выполненных в рамках договора от 01.01.2019 № 01-01-2019 работ на заявленную сумму и непредставления ответчиком возражений в отношении них в согласованном договором порядке, поэтому признали работы выполненными и подлежащими оплате в соответствии с обстоятельствами исполнения обязательства и статьями 702 , 711 ,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«Домтрансавто»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"НАЦИОНАЛЬНЫЙ ОПЕРАТОР ОБЩЕСТВЕННОГО ТРАНСПОРТА" (подробнее) Ответчики: ООО "ДОМТРАНСАВТО"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