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Девятого арбитражного апелляционного суда от 17.03.2020, оставленным без изменения постановлением Арбитражного суда Московского округа от 03.06.2020, апелляционная жалоба Данкевича Е.Л. и Жужлева Г.Е. на определение Арбитражного суда города Москвы от 24.01.2020 о рассмотрении дела в закрытом судебном заседании возвращена на основании пункта 2 части 1 статьи 264 Арбитражного процессуального кодекса Российской Федерации. В кассационной жалобе Данкевич Е.Л. просит о пересмотре судебных актов о возвращении апелляционной жалобы, ссылаясь на то, что рассмотрение дела в закрытом судебном заседании создает правовую неопределенность для участвующих в деле лиц и немотивированно ограничивает их права.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кассационной жалобы касаются существа определения от 24.01.2020 и не подлежат обсуждению в пределах проверки правомерности возвращения поданной на указанное определение апелляционной жалобы. Возвращение апелляционной жалобы в связи с подачей ее на не подлежащее самостоятельному обжалованию определение соответствует части 4 статьи 11, части 2 статьи 159, части 1 статьи 188, пункту 2 части 1 статьи 264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Данкевичу Евгению Леонидовичу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