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банк обратился в суд с заявлением о включении в реестр требований кредиторов должника его требования в размере 1 553 994 рублей 17 копеек, обеспеченного залогом квартиры по адресу: &lt;...&gt; (далее – квартира). Определением Арбитражного суда Калининградской области от 23.10.2019, оставленным без изменения постановлениями Тринадцатого арбитражного апелляционного суда от 10.02.2020 и Арбитражного суда Северо-Западного округа от 29.05.2020, требования банка признаны обоснованными и включены в реестр требований кредиторов должника в размере 586 472 рублей 63 копеек основного долга, 909 893 рублей 74 копеек неустойки, 43 323 рублей 23 копеек процентов, 14 304 рублей 57 копеек судебных расходов по уплате государственной пошлины с отнесением к третьей очереди удовлетворения; в удовлетворении остальной части заявления отказано. В кассационной жалобе, поданной в Верховный Суд Российской Федерации, заявитель просит отменить указанные судебные акты в части отказа во включении требования как обеспеченного залогом квартиры.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статьями 16, 100, 134, 138, 213.24, 213.27 Федерального закона от 26.10.2002 № 127-ФЗ «О несостоятельности (банкротстве)», пунктом 1 постановления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обоснованно пришли к выводам об отсутствии оснований для установления за банком статуса залогового кредитора. Содержание жалобы банка,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«Банк Уралсиб»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Банк "Советский" в лице к/у ГК Агентство по страхованию вкладов (подробнее) к/у АО Банк "Советский" ГК "Агентство по страхованию вкладов" (подробнее) ПАО "РОСБАНК" (подробнее) Иные лица: АО Банк Русский Стандарт (подробнее) Межрайонная инспекция Федеральной налоговой службы №8 по городу Калининграду (подробнее) ООО "Право" (подробнее) ПАО Банк ВТБ (подробнее) ПАО "БАНК УРАЛСИБ" (подробнее) ПАО "Сбербанк России" (подробнее) Управление Федеральной налоговой службы по Калининградской области (подробнее) ф/у Барыкина Л.А.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