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07.10.2019, оставленным без изменения постановлениями Девятого арбитражного апелляционного суда от 24.12.2019 и Арбитражного суда Московского округа от 19.05.2020, в удовлетворении заявленных требований отказано. В кассационной жалобе компания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компании при проведении запросов предложений в электронной форме на право заключения договора на оказание услуг по сопровождению, восстановлению специализированного программного обеспечения и по техническому обслуживанию и ремонту, в том числе, с заменой комплектующих, турникетных комплексов, систем часофикации и валидаторов пассажира; на право заключения договора на оказание услуг по техническому обслуживанию и ремонту информационных терминалов, контроллеров зоны прохода, автоматизированных рабочих мест контролёров автоматических пропускных пунктов и серверов управления вестибюлем на полигоне Малого кольца Московской железной дороги, антимонопольным органом принято решение. Управлением жалоба общества признана обоснованной, в действиях компании выявлены нарушения пунктов 1, 2, 4 части 1 статьи 3, пунктов 9, 14 части 10 статьи 4 Федерального закона от 18.07.2011 № 223-ФЗ «О закупках товаров, работ, услуг отдельными видами юридических лиц» (далее - Закон о закупках), подпункта 2 пункта 32 раздела 5 Положения о закупках. Выдано предписание об устранении выявленных нарушений. Считая ненормативные акты антимонопольного органа незаконными, компания обратилась в арбитражный суд. Отказывая в удовлетворении заявленных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статьи 18.1 Федерального закона от 26.06.2006 № 135-ФЗ «О защите конкуренции», пришли к выводу о том, что оспариваемое решение и выданное на его основании предписание соответствуют положениям действующего законодательства, не нарушают прав и законных интересов заявителя. Судебные инстанции исходили из того, что заказчиком в документации о закупке к участнику закупки предъявлены требования о представлении доказательств наличия опыта в значительных размерах, безотносительно требования наличия опыта по каждому из видов услуг, предполагаемых к выполнению в рамках закупки, что не отвечает цели обеспечения выбора наилучшего исполнителя применительно к предмету закупки Также суды установили, что в документации к закупке неправомерно установлено требование о внесении участниками обеспечения заявки исключительно в виде безналичного перечисления денежных средств на расчетный счет заказчика; заказчиком неверно определен код ОКПД. Кроме того суды отметили, что компания, не заявив требования о незаконности иных нарушений, выявленных антимонопольным органом, фактически согласилась с решением управления в данной части, признав его законность, что освобождает административный орган от необходимости доказывания указанных обстоятельств. Доводы заявителя, изложенные в кассационной жалобе, являлись предметом рассмотрения судов и получили надлежащую правовую оценку с учетом установленных по делу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Центральная ППК (подробнее) Ответчики: УФАС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