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22.10.2019, оставленным без изменения постановлением Третьего арбитражного апелляционного суда от 22.01.2020 и постановлением Арбитражного суда Восточно-Сибирского округа от 25.05.2020,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требование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жалобой на действия учреждения (заказчик) при проведении электронного аукциона на поставку медицинского инструментария. По мнению заявителя, учреждение необоснованно отказало в допуске к участию в аукционе его заявки по причине непредставления информации о конкретных показателях товара, соответствующих значениям, установленным в документации об аукционе. В ходе проверки обращения управлением установлено несоответствие заявки общества требованиям аукционной документации по причине отсутствия информации о возможности использования иглодержателя для нитей до 3/0 (диаметр USP). Данные обстоятельства послужили основанием для принятия решения о признании жалобы необоснованной, которое оспорено обществом в арбитражный суд. Признавая решение антимонопольного органа законным, суды, руководствуясь положениями статей 3, 24, 33, 59, 64, 66, 67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доказанности несоответствия первой части заявки общества требованиям аукционной документации. Оценив представленные в материалы дела доказательства, суды установили, что при определенном в документации максимальном значении диаметра нити 3/0 для требуемого иглодержателя должны подходить нити 3/0, 4/0, 5/0, 6/0, 7/0 и далее. Представив к заявке информацию о том, что предлагаемый к поставке иглодержатель подходит для нитей диаметром в диапазоне 10-3/0, учитывая, что в соответствии с Межгосударственным стандартом ГОСТ 31620-2012 «Материалы хирургические шовные. Общие технические требования. Методы испытаний», введенным в действие приказом Федерального агентства по техническому регулированию и метрологии от 01.11.2012 № 671-ст, условный номер шовного материала 10 по USP больше условного номера 3/0 по USP, общество не представило информацию о том, что такой иглодержатель будет подходить для нитей до 3/0 (диаметр USP). При этом при определении реального объекта заявителем не учтена специфика медицинской деятельности учреждения - сердечно-сосудистая хирургия, при которой используется наиболее тонкий шовный материал. Доводы, изложенные в кассационной жалобе, в том числе со ссылкой на письмо производителя шовного материала, а также практику проведения аукционов и заключения контрактов, повторяют позицию общества по спору, являлись предметом рассмотрения судов и получили правовую оценку с учетом установленных обстоятельств дела. Несогласие общества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«Апрель-21»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"АПРЕЛЬ-21" (подробнее) Ответчики: Управление Федеральной антимонопольной службы по Красноярскому краю (подробнее) Иные лица: Арбитражный суд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