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по результатам повторного рассмотрения дела решением Арбитражного суда Краснодарского края от 31.10.2019, оставленным без изменения постановлением Пятнадцатого арбитражного апелляционного суда от 23.01.2020 и постановлением Арбитражного суда Северо-Кавказского округа от 19.05.2020, в удовлетворении иска отказано и с учреждения в пользу общества взыскано 20 000 рублей расходов на оплату услуг представителя.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 и исковое требование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учреждением (заказчик) и обществом (подрядчик) заключен муниципальный контракт на выполнение строительно-монтажных работ для муниципальных нужд по объекту. Исковое требование мотивировано завышением подрядчиком стоимости контракта на величину документально необоснованных и неподтвержденных затрат на добровольное страхование строительных рисков. Рассматривая спор, суды, оценив представленные в материалы дела доказательства и результаты проведенных судебных экспертиз, руководствуясь положениями статей 424 , 702 , 709 , 741 , 746 , 763 , 1102 Гражданского кодекса Российской Федерации, статей 9, 38 Федерального закона Российской Федерации от 21.07.2005 № 94-ФЗ «О размещении заказов на поставки товаров, выполнение работ, оказание услуг для государственных и муниципальных нужд» (в редакции, действовавшей на момент заключения контракта), учитывая обстоятельства, установленные вступившими в законную силу судебными актами по делу № А32-27645/2016, пришли к выводу об отсутствии на стороне общества неосновательного обогащения. Судебные инстанции отметили, что цена контракта являлась твердой и не подлежала изменению в сторону уменьшения после его исполнения. При этом результат работ принят учреждением без возражений по объему и качеству, оплата работ произведена согласно обусловленной контрактом твердой цены, соглашений об уменьшении цены контракта между сторонами не заключено. Доводы учреждения, касающиеся доказательственной базы, в том числе оценки экспертного заключения, подлежат отклонению, поскольку вопрос допустимости, относимости и достоверности доказательств разрешается судами первой и апелляционной инстанций в каждом конкретном случае, исходя из обстоятельств дела, и входит в круг вопросов, рассмотрение которых не относится к компетенции суда, рассматривающего дело в порядке кассационного производства. Приведенные доводы были предметом рассмотрения судов, не опровергают их выводы, не свидетельствуют о существенных нарушениях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«Управление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МКУ "Управление строительства" (подробнее) Ответчики: ООО "Росмонтаж" (подробнее) Судьи дела: Антонова М.К.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