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17.12.2019, оставленным без изменения постановлением Пятнадцатого арбитражного апелляционного суда от 19.02.2020 и постановлением Северо-Кавказского округа от 08.06.2020, в удовлетворении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акты,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антимонопольный орган поступило обращение предпринимателя о неправомерных действиях общества и ФИО2, выразившихся во введении ограничения режима потребления электрической энергии (мощности) энергопринимающих устройств заявителя. Рассмотрев обращение предпринимателя, управлением вынесено решение от 29.05.2019 о прекращении рассмотрения дела № 121/02 в отношении общества и ФИО2 в связи с отсутствием нарушения в рассматриваемых действиях (бездействии). Не согласившись с решением управления, предприниматель обратился в арбитражный суд. Оценив представленные в материалы дела доказательства, суды первой и апелляционной инстанций, руководствуясь положениями Федерального закона от 26.07.2006 № 135-ФЗ «О защите конкуренции» (далее - Закон о Защите конкуренции), Правилами полного и (или) частичного ограничения режима потребления электрической энергии, утвержденными постановлением Правительства Российской Федерации от 04.05.2012 № 442, Правилами недискриминационного доступа к услугам по передаче электрической энергии, утвержденными постановлением Правительства Российской Федерации от 27.12.2004 № 861 (далее - Правила № 861), пришли к выводу, что решение управления соответствует положениям законодательства и не нарушает прав и законных интересов заявителя, с чем согласился суд округа. Судебные инстанции установили, что общество и Серебрякова А.Ю. не препятствовали перетоку электрической энергии на энергопринимающие устройства предпринимателя, не обладают признаками сетевой организации; аренда трансформаторной подстанции и оказание услуг по техническому обслуживанию здания трансформаторной подстанции не свидетельствуют о том, что названные лица осуществляют деятельность по передаче электрической энергии, занимают доминирующее положение на рынке услуг по передаче электрической энергии и подпадают под регулирование Закона о защите конкуренции, в связи с чем у управления отсутствовали основания для квалификации действий общества и Серебряковой А.Ю. по части 1 статьи 9.21 Кодекса Российской Федерации об административных правонарушениях. Суды также отметили, что нарушения порядка введения ограничения режима потребления электрической энергии не могут быть квалифицированы как нарушение Правил № 861.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Управление Федеральной антимонопольной службы по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