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Четвертого арбитражного апелляционного суда от 28.02.2020, оставленным без изменения постановлением Арбитражного суда Восточно-Сибирского округа от 20.05.2020, апелляционная жалоба возвращена управлению в связи с пропуском срока подачи и отказом в удовлетворении ходатайства о восстановлении срока. В кассационной жалобе управление просит о пересмотре судебных актов в отношении возвращения апелляционной жалобы, ссылаясь на невозможность своевременного приложения к ней необходимых документов, не предоставленных ответчиком.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Требования, предъявляемые к форме и содержанию апелляционной жалобы статьей 260 Арбитражного процессуального кодекса Российской Федерации, не включают условия о приложении документов, в связи с отсутствием которых управление связывает пропуск срока на подачу жалобы. В указанной ситуации обозначенная причина пропуска срока не создает основания для его восстановления, на что правильно указали суды.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Федерального агентства по государственным резервам по Сибирскому федеральному округу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Управление Федерального агентства по государственным резервам по Сибирскому федеральному округу (подробнее) Управление Федерального агентства по государственным резервам по Сибирскому федеральному округу в лице "Прибайкальский территориальный отдел" (подробнее) Ответчики: ГУП Краевое "Автомобильные дороги Забайкалья"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