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22.11.2019, оставленным без изменения постановлением Девятого арбитражного апелляционного суда от 25.02.2020 и постановлением Арбитражного суда Московского округа от 25.06.2020, в иске отказано. В кассационной жалобе общество «Воентелеком-Сервис» просит отменить судебные акты, ссылаясь на отсутствие изменения сроков поставки и неосновательное освобождение от ответственности за их нарушение.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спецификаций по истечении согласованных в договорах сроков поставки в качестве основания, исключающего применение договорных последствий несоблюдения сроков в виде неустойки и процентов за коммерческий кредит.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«Воентелеком-Сервис»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"Воентелеком-Сервис" (подробнее) Ответчики: ООО "Центр безопасности МВО"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