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Омской области от 14.11.2019, оставленным без изменения постановлением Восьмого арбитражного апелляционного суда от 28.01.2020, частично удовлетворено заявление общества о включении 15 294 470 рублей 70 копеек в четвёртую очередь реестра требований кредиторов должника, как обеспеченного залогом имущества последнего. Не согласившись с названными судебными актами, общество обжаловало их в кассационном порядке. Определением Арбитражного суда Западно-Сибирского округа от 25.03.2020, оставленным без изменения коллегиальным определением того же суда от 16.06.2020, кассационная жалоба возвращена заявителю на основании пункта 2 части 1 статьи 281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указанные определения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окружной суд, руководствуясь положениями статей 117, 121, 276, 281 Арбитражного процессуального кодекса Российской Федерации, пунктами 32, 34 постановления Пленума Высшего Арбитражного Суда Российской Федерации от 25.12.2013 № 99 «О процессуальных сроках», исходил из непредставления заявителем, осведомлённым надлежащим образом о рассмотрении обособленного спора, принимавшим участие в судебных заседаниях и активно использующим электронную систему подачи документов (http://kad.arbitr.ru), доказательств и убедительных доводов в обоснование невозможности осуществления процессуальных действий по кассационному обжалованию судебных актов в установленный законом срок. Проверяя обоснованность возврата жалобы заявителя, судебная коллегия окружного суда не установила нарушений норм процессуального права и согласилась с указанными выводами. Указанные обстоятельства не свидетельствовали о лишении заявителя как участника обособленного спора права на судебную защиту.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«Ф-Консалтинг»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