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19.08.2019, оставленным без изменения постановлением Восемнадцатого арбитражного апелляционного суда от 06.11.2019, в удовлетворении иска отказано по мотиву отсутствия у истца права на получение страхового возмещения. Арбитражный суд Уральского округа постановлением от 02.07.2020 решение от 19.08.2019 и постановление Восемнадцатого арбитражного апелляционного суда от 06.11.2019 оставил без изменения. В кассационной жалобе предприниматель просит об отмене судебных актов, ссылаясь на переход права собственности на застрахованный автомобиль в качестве основания приобретения требования невыплаченной части страхового возмещения.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Прекращение договора лизинга в связи с гибелью автомобиля и передача после получения страхового возмещения лизингодателем его остатков в собственность лизингополучателя означает завершение между сторонами договора лизинга взаимных расчетов и отсутствие убытков, могущих быть предметом уступки. Заявленные убытки определены расчетным путем на основании договора страхования без учета особенностей правоотношений по лизингу и в их взыскании правомерно отказано.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ПАО СТРАХОВАЯ КОМПАНИЯ "РОСГОССТРАХ"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