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17.10.2019, оставленным без изменения постановлением Девятого арбитражного апелляционного суда от 26.12.2019, в удовлетворении иска отказано. Арбитражный суд Московского округа постановлением от 22.05.2020 решение от 17.10.2019 и постановление Девятого арбитражного апелляционного суда от 26.12.2019 оставил без изменения. В кассационной жалобе общество «ВТБ Лизинг» просит об отмене судебных актов, ссылаясь на наступление страхового случая и отсутствие оснований для освобождения страховщика от выплаты страхового возмещения в том числе в связи с пропуском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обстоятельства выбытия застрахованного транспортного средства из владения лизингополучателя, которому оно передано истцом, и уголовно-правовая квалификация выбытия позволили суду признать его не попадающим под застрахованные на основании полиса страхования транспортного средства от 11.02.2015 серии 0095020 № 200488393/15-ТЮЛ риски. Исчисление судами срока исковой давности применительно к согласованному сторонами порядку взаимодействия в связи с наступившим событием соответствует статьям 966 , 200 Гражданского кодекса Российской Федерации. Руководствуясь статьями 291.6 , 291.8 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«ВТБ 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ВТБ ЛИЗИНГ (подробнее) Ответчики: ООО "Страховая компания "Согласие"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